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08.10.2021 признано доказанным наличие оснований для привлечения Дударевой О.Ю. к субсидиарной ответственности по обязательствам должника. Дударева О.Ю. обратилась в апелляционный суд с жалобой на указанное определение суда от 08.10.2021, ходатайствуя о восстановлении пропущенного срока подачи жалобы. Определением Девятого арбитражного апелляционного суда от 28.03.2022, оставленным без изменения постановлением Арбитражного суда Московского округа от 26.05.2022, отказано в удовлетворении ходатайства о восстановлении процессуального срока, прекращено производство по жалобе. В кассационной жалобе, поданной в Верховный Суд Российской Федерации, заявитель просит отменить указанные судебные акты и восстановить срок на подачу жалобы. 27.09.2022 материалы дела № А40-146528/2017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Прекращая производство по жалобе, апелляционный суд, руководствуясь положениями статьи 150 Арбитражного процессуального кодекса Российской Федерации, признав надлежащим извещение Дударевой О.Ю. о времени и месте судебного разбирательства, пришёл к выводу об отсутствии оснований для восстановления процессуального срока. Проверяя обоснованность прекращения производства по апелляционной жалобе, суд округа не установил нарушений норм процессуального права и согласился с выводами апелляционного суда,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Дударевой Ольге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