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17.01.2022, оставленным без изменения постановлением Девятого арбитражного апелляционного суда от 18.04.2022 и постановлением Арбитражного суда Московского округа от 19.07.2022, процедура реализации имущества гражданина завершена без применения правил об освобождении от дальнейшего исполнения требований кредиторов. В кассационной жалобе должник просит об отмене судебных актов, ссылаясь на несоответствие вывода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процедурах банкротства и установили его действия,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Коптеву-Дворникову Владимиру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