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договора № ПЗЭО-1-025-13 купли-продажи недвижимого имущества от 19.08.2013, заключенного между должником и обществом с ограниченной ответственностью «Производственно – технический комплекс Перловский» (дочерняя компания должника; далее – общество), договоров ипотеки нежилого здания и права аренды земельного участка № 069-009-К-2017-3-6 и № 069-010- К-2017-3-6 от 25.10.2017, заключенных между публичным акционерным обществом Банк «Возрождение» и обществом; применении последствий недействительности сделок. Определением Арбитражного суда Московской области от 16.11.2021, оставленным без изменения постановлениями Десятого арбитражного апелляционного суда от 29.03.2022 и Арбитражного суда Московского округа от 21.06.2022,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признания недействительными оспариваемых сделок. Наличия у оспариваемых сделок пороков, выходящих за пределы дефектов подозрительных сделок и позволяющих применить положения статей 10 и 168 Гражданского кодекса Российской Федерации, судами не установлено.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открытым акционерным обществом «Перловский завод энергетического оборудования» Сёмину Геннадию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