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16.02.2022, оставленным без изменения постановлением Десятого арбитражного апелляционного суда от 14.04.2022 и постановлением Арбитражного суда Московского округа от 05.07.2022, требования общества признаны обоснованными и подлежащими удовлетворению за счет оставшегося после удовлетворения требований кредиторов, включенных в реестр, имущества должника. В кассационной жалобе общество просит об отмене судебных актов, ссылаясь на неправильные квалификацию требования и определение его очередности.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соответствуют пункту 26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статьям 71, 100, пункту 4 статьи 142 Федерального закона от 26.10.2002 № 127-ФЗ «О несостоятельности (банкротстве)» и их судебному толкованию.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«Интерскол-Алабуга»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