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Пасечник Алексей Васильевич и конкурсный кредитор общество с ограниченной ответственностью «СтройТехника» обратились в суд с заявлениями, объединёнными в одно производство для совместного рассмотрения, в которых просили признать недействительным договор купли-продажи от 27.08.2015 № 05/2015-КП-МАН автомобиля БЦМ-59 на шасси MAN TGS 41.390 8X4 BB-WW VIN: X3W65392AC0001105, 2012 года выпуска, номер двигателя D2066LH0250532860903286, шасси WMA39WZZ4DM608371, кузов X3W65392AC0001105, заключенный между должником (продавцом) и Загидуллиным Ф.М. (покупателем); применить последствия недействительности сделки. Определением Арбитражного суда города Москвы от 11.03.2022, оставленным без изменения постановлениями Девятого арбитражного апелляционного суда от 28.04.2022 и Арбитражного суда Московского округа от 20.07.2022,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2, пунктом 2 статьи 61.2 Федерального закона от 26.10.2002 № 127-ФЗ «О несостоятельности (банкротстве)», исходили из наличия оснований для признания недействительной оспариваемой сделки, совершённой в период подозрительности и в отсутствие встречного предоставления для неплатёжеспособного должника с целью причинения вреда имущественным правам его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Загидуллину Фанису Минфазыловичу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