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 октября 2022 года через электронный сервис «Мой Арбитр» заявитель обратился Верховный Суд Российской Федерации кассационную жалобу на постановление Арбитражного суда Московского округа от 18.08.2022 по делу № А40-109097/2018.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18.08.2022,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доводах, приведённых в обоснование настоящего ходатайства, заявитель указывает на позднюю публикацию обжалуемого постановления суда округа, а также на незначительность пропущенного срока. 2 Как следует из информации, размещенной на официальном сайте арбитражных судов (www.arbitr.ru), и как указывает сам заявитель, постановление Арбитражного суда Московского округа от 18.08.2022 было опубликовано в общедоступной базе судебных актов 19.08.2022,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представитель заявителя Алыева У.А. принимала участие в судебном заседании суда округа. Алыева У.А. также подписала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"Арт-Сити" о восстановлении пропущенного процессуального срока отказать. Кассационную жалобу общества с ограниченной ответственностью "Арт-Сити" на постановление Арбитражного суда Московского округа от 18.08.2022 по делу № А40-109791/2019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