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жалобой на действия (бездействие) конкурсного управляющего должником Бобровского Алексея Владимировича, содержащей требование об отстранении указанного лица от исполнения возложенных на него обязанностей. Определением Арбитражного суда города Москвы от 10.02.2022, оставленным без изменения постановлениями Девятого арбитражного апелляционного суда от 28.04.2022 и Арбитражного суда Московского округа от 02.08.2022,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60, 70, 145 Федерального закона от 26.10.2002 № 127-ФЗ «О несостоятельности (банкротстве)», исходили из недоказанности фактов нарушения конкурсным управляющим Бобровским А.В. норм законодательства о банкротстве, прав и законных интересов должника, общества и иных кредиторов, а также причинения им убытков, связи с чем отказали в удовлетворении заявленных требований. Выводы судов соответствуют нормам права, оснований их переоценки по доводам жалобы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«Первая Юридическая Контора»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