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26.11.2021, оставленным без изменения постановлением Девятого арбитражного апелляционного суда от 09.02.2022 и постановлением Арбитражного суда Московского округа от 27.06.2022, исковые требования удовлетворены. Не согласившись с принятыми по делу судебными актами, общество обратилось с кассационной жалобой в Верховный Суд Российской Федерации, ссылаясь на наличие оснований для их обжалования в порядке статьи 291.1 Арбитражного процессуального кодекса Российской Федерации (далее – АПК РФ). Изучив изложенные в кассационной жалобе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2 291.6 АПК РФ,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 по правилам статьи 71 АПК РФ, проанализировав условия заключенного сторонами договора, руководствуясь положениями законодательства, регулирующими спорные правоотношения, установив факт оказания компанией услуг и неоплаты их обществом, проверив представленный компанией расчет и признав его верным,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дочернего общества - общества с ограниченной ответственностью «Сэнчери»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