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17.02.2022, оставленным без изменения постановлением Девятого арбитражного апелляционного суда от 22.04.2022 и постановлением Арбитражного суда Московского округа от 09.08.2022, с общества в пользу компании взыскано 36 313 930 руб. 07 коп. неотработанного аванса и 3 157 677 руб. 78 коп. неустойки, в удовлетворении остальной части исковых требований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принять по делу новый судебный акт или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установив, что договор подряда расторгнут компанией (генподрядчик) в связи с нарушением обществом (подрядчик) сроков выполнения и окончания работ, доказательств выполнения подрядчиком работ на спорную сумму полученного аванса и передачи их результата генподрядчику не представлено, руководствуясь статьями 309, 310, 329, 330, 421, 702, 708, 711, 723, 753, 1102, 1107 Гражданского кодекса Российской Федерации, суды первой и апелляционной инстанций удовлетворили исковые требования в части с учетом применения положений статьи 333 Гражданского кодекса Российской Федерации. Суд округа поддержал выводы судов первой и апелляционной инстанций. Доводы кассационной жалобы не свидетельствуют о существенном нарушении норм материального и процессуального права, повлиявших на исход дела, по существу направлены на переоценку установленных фактических обстоятельств дела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«Эверест»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