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подает кассационную жалобу на судебные акты по делу, в котором не участвует, указывая, что они нарушают его права как залогового кредитора – ответчика в обособленном споре.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относится к поименованным лицам.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2 Учитывая отсутствие у заявителя права на обжалование, являющееся в существующей ситуации беспредметным ходатайство о восстановлении срока подачи жалобы рассмотрению не подлежит. Документы поданы в электронном виде, поэтому уплаченная за подачу жалобы государственная пошлина принимаемым определением не возвращается, а жалоба – не рассматривается по существу.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«Банк Жилищного Финансирования» на постановление Третьего арбитражного апелляционного суда от 12.07.2021 и постановление Арбитражного суда Восточно-Сибирского округа от 04.10.2021 по делу № А33-634/2019 Арбитражного суда Красноярского края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