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01.02.2022, оставленным без изменения постановлением Девятого арбитражного апелляционного суда от 27.04.2022 и постановлением Арбитражного суда Московского округа от 20.07.2022,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обжалуемых судебных актов и доводов кассационной жалобы не установлено. Прекращая производство по делу, суд первой инстанции, выводы которого поддержали суды апелляционной инстанции и округа, руководствовался пунктом 2 части 1 статьи 150 Арбитражного процессуального кодекса Российской Федерации и исходил из тождественности исков по настоящему делу и делу № А40-69510/2020, по которому имеется вступивший в законную силу судебный акт. Доводы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«Еврокомфорт»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