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08.11.2021, оставленным без изменения постановлением Восьмого арбитражного апелляционного суда от 28.03.2022 и постановлением Арбитражного суда Западно-Сибирского округа от 01.08.2022, исковые требования удовлетворены в части взыскания 55 435 рублей 69 копеек процентов за пользование чужими денежными средствами и 141 644 рублей штрафа. В кассационной жалобе общество «МП ИНВЕСТСТРОЙ» просит об отмене судебных актов в неудовлетворенной части иска, ссылаясь на неправильный расчет штрафа.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Оспаривание размера требования не попадает под поименованные основания для кассационного пересмотра судебного акта.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«МП ИНВЕСТСТРОЙ»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"МП ИНВЕСТСТРОЙ" (подробнее) Ответчики: Общество с ограниченной ответственностью "ПКФ "Омский причал" (подробнее) Иные лица: 8ААС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