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26.11.2021, оставленным без изменения постановлением Восемнадцатого арбитражного апелляционного суда от 10.02.2022 и постановлением Арбитражного суда Уральского округа от 05.07.2022, заявленные требования удовлетворены частично.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законодательства, регулирующими спорные правоотношения, установив факт ненадлежащего исполнения обществом обязательств по поставке товара, проверив представленный предпринимателем расчет и скорректировав его в части периода начисления неустойки, суды первой и апелляционной инстанций пришли к выводу о частичном удовлетворении иска, с чем впоследствии согласился суд округа. Доводы кассационной жалобы были предметом рассмотрения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«Луидор-Уфа»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