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21.01.2022, оставленным без изменения постановлением Семнадцатого арбитражного апелляционного суда от 08.04.2022 и постановлением Арбитражного суда Уральского округа от 21.06.2022, заявление удовлетворено частично. В кассационной жалобе Покасова В.А. просит об отмене судебных актов, ссылаясь на неучтенное судами ведение должником предпринимательской деятельности.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исходили из презюмируемых и не опровергнутых обстоятельств расходования денежных средств на нужды семьи, поэтому признали супруга должника обязанным в отношении спорного долга. Вывод судов основан на установленных обстоятельствах рассматриваемого спора, статьях 35, 45 Семейного кодекса Российской Федерации, статьях 213.8, 213.19, 213.24, 213.25, Федерального закона от 26.10.2002 № 127-ФЗ «О несостоятельности (банкротстве)»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Покасовой Вере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