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30.12.2021, оставленным без изменения постановлением Десятого арбитражного апелляционного суда от 28.03.2022 и постановлением Арбитражного суда Московского округа от 04.07.2022, заявление должника удовлетворено. В кассационной жалобе Норкина Е.С. просит об отмене судебных актов, ссылаясь на искусственное придание квартире исполнительского иммунитета.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Доводы о недобросовестности должника оценены в соответствии с правомочиями судов и признаны не влияющими на судьбу спорного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Норкиной Екатерине Сергеевне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