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10.08.2021, оставленным без изменения постановлением Пятнадцатого арбитражного апелляционного суда от 07.04.2022 и постановлением Арбитражного суда Северо-Кавказского округа от 15.06.2022, в удовлетворении ходатайства о приостановлении производства по делу отказано, требования общества в размере 6 135 691 рубля 69 копеек включены в третью очередь реестра как обеспеченные залогом имущества должника, требования в части штрафных санкций и неустойки учтены в реестре отдельно как подлежащие удовлетворению после погашения основной суммы задолженности и причитающихся процентов. В кассационной жалобе Гоголь Д.О. просит об отмене судебных актов, ссылаясь на формальный подход к оценке требования, неосновательное отклонение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обоснованным, подтвержденным доказательствами и соответствующим статьям 71, 100 Федерального закона от 26.10.2002 № 127-ФЗ «О несостоятельности (банкротстве)». Довод о фальсификации решения суда, которым подтверждается наличие у должника задолженности, рассмотрен и отклонен со ссылкой на неоднократную его проверку при рассмотрении других обособленных споров в рамках дела о банкротстве должника.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Гоголь Диане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