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03.11.2021 в удовлетворении заявления отказано. Десятый арбитражный апелляционный суд постановлением от 17.02.2022 отменил определение от 03.11.2021 и признал недействительной сделку по передаче банку квартиры, возвратив последнюю в конкурсную массу должника. Арбитражный суд Московского округа постановлением от 24.06.2022 отменил определение апелляционного суда от 17.02.2022 и оставил в силе определение от 03.11.2021. В кассационной жалобе ФИО1 просит об отмене постановления окружного суда, ссылаясь на неправильную оценку передачи квартиры.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отсутствие кредиторов первой и второй очередей суд первой инстанции не установил предпочтения вследствие передачи банку нереализованного имущества. У суда апелляционной инстанции не было оснований для иной оценки состоявшейся передачи имущества, поэтому его судебный акт отменен в окружным судом в соответствии с имеющейся в силу статей 286 , 287 Арбитражного процессуального кодекса Российской Федерации компетенцией. Иная оценка управляющим сделки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АКЦИОНЕРНЫЙ КОММЕРЧЕСКИЙ БАНК "БЕНИФИТ-БАНК" (подробнее) ПАО Банк ВТБ (подробнее) ПАО "Восточный экспресс банк" (подробнее) СОЮЗ "САМОРЕГУЛИРУЕМАЯ ОРГАНИЗАЦИЯ АРБИТРАЖНЫХ УПРАВЛЯЮЩИХ "СТРАТЕГИЯ"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