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24.12.2021, оставленным без изменения постановлением Одиннадцатого арбитражного апелляционного суда от 29.03.2022 и постановлением Арбитражного суда Поволжского округа от 21.06.2022, заявление удовлетворено. В кассационной жалобе Гимранов Ф.Г. просит об отмене судебных актов, ссылаясь на отсутствие условий для признания сделки недействительной, игнорирование исполнительского иммунитета жилого дома и наличия неотделимых улучшений.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Кроме условий недействительности договора в силу пункта 2 статьи 61.2 Федерального закона от 26.10.2002 № 127-ФЗ «О несостоятельности (банкротстве)» суды установили недобросовестные действия должника и его бывшей супруги в отношении спорного дома, направленные на выведение его из под взыскания по долгам, поэтому отказали в защите прав на дом в порядке статьи 446 Гражданского процессуального кодекса Российской Федерации при применении последствий недействительности. Наличие улучшений не влияет на применение последствий недействительности сделки.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Гимранову Фархату Гильфановичу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