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31.01.2022, оставленным без изменения постановлением Семнадцатого арбитражного апелляционного суда от 11.04.2022 и постановлением Арбитражного суда Уральского округа от 15.07.2022, заявление удовлетворено. В кассационной жалобе ФИО1 просит об отмене судебных актов, ссылаясь на игнорирование обязательности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Судебный акт суда общей юрисдикции не признан обязательным для рассматриваемого спора, учитывая, что им спор по существу не разрешен и в итоге оставлен без рассмотрения.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Федеральной налоговой службы по Ленинскому району г. Екатеринбурга (подробнее) ООО "Новая городская инфраструктура Прикамья" (подробнее) Управление имущественных и земельных отношений администрации города Березники (подробнее) Иные лица: Ассоциация "Саморегулируемая организация арбитражных управляющих "Меркурий" (подробнее) ГУ УПРАВЛЕНИЕ ПЕНСИОННОГО ФОНДА РОССИЙСКОЙ ФЕДЕРАЦИИ В ЛЕНИНСКОМ РАЙОНЕ Г. ЕКАТЕРИНБУРГА СВЕРДЛОВСКОЙ ОБЛАСТИ (подробнее) ИП Логинов Сергей Леонидович (подробнее) Федеральная налоговая служба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