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Челябинской области от 06.12.2021 признан недействительным договор купли-продажи квартиры от 26.08.2016, заключенный должником с Габдуллиным С.А., последний обязан возвратить квартиру в конкурсную массу должника. Восемнадцатый арбитражный апелляционный суд постановлением от 15.03.2022 отменил определение от 06.12.2021 и отказал в удовлетворении заявления. Арбитражный суд Уральского округа постановлением от 27.06.2022 постановление апелляционного суда от 15.03.2022 оставил без изменения. В кассационной жалобе Ишкова Н.Н. просит об отмене судебных актов, ссылаясь на неправильную оценку обстоятельств заключения оспариваемого договора.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Иная оценка установленных судами обстоятельств совершения сделки не попадает под указанные основания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Ишковой Н.Н.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