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15.03.2022, оставленным без изменения постановлением Девятого арбитражного апелляционного суда от 02.06.2022 и постановлением Арбитражного суда Московского округа от 16.08.2022, в удовлетворении заявления отказано. В кассационной жалобе общество просит о пересмотре судебных актов, ссылаясь на неподтвержденность требования после отмены судебного акта, на котором оно было основано.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 отмены решения суда общей юрисдикции, на котором требование было основано, новый судебный акт о судьбе требования не принимался, а возражения общества рассмотрены при включении требования в реестр, поэтому факт отмены решения признан не отвечающим признакам новизны в отношении существа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