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26.01.2022, оставленным без изменения постановлением Девятого арбитражного апелляционного суда от 26.04.2022 и постановлением Арбитражного суда Московского округа от 10.08.2022, с общества в пользу компании взыскано 25 359 792 руб. 73 коп. неустойки, в удовлетворении остальной части исковых требований отказано.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просит отменить указанные судебные акты в части взыскания неустойки и принять по делу новый судебный акт либо направить дело на новое рассмотрение.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проанализировав условия заключенного сторонами договора, установив факт нарушения обществом срока выполнения работ, проверив представленный компанией расчет и скорректировав его в части периода начисления неустойки, не усмотрев оснований для применения статьи 333 Гражданского кодекса Российской Федерации, руководствуясь положениями законодательства, регулирующими спорные правоотношения, суды первой и апелляционной инстанций пришли к выводу о частичном удовлетворении требования компании о взыскании неустойки, с чем впоследствии согласился суд округа. Доводы кассационной жалобы не подтверждают существенных нарушений судами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По существу они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«Эверест»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