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08.11.2021, оставленным без изменения постановлением Девятого арбитражного апелляционного суда от 31.01.2022 и постановлением Арбитражного суда Московского округа от 20.06.2022, в удовлетворении первоначального иска отказано, встречный иск удовлетворен в части взыскания с компании в пользу общества задолженности по договору подряда, в удовлетворении остальной части требований отказано. В кассационной жалобе, поданной в Верховный Суд Российской Федерации, общество, ссылаясь на нарушение судами норм права, 2 просит отменить указанные судебные акты в части отказа в удовлетворении встречных исковых требований о взыскании стоимости дополнительных работ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 не представило надлежащих доказательств сдачи результата спорных работ компании, руководствуясь положениями гражданского законодательства, регулирующими спорные правоотношения, суды первой и апелляционной инстанций пришли к выводу о том, что у компании не возникла обязанность по оплате этих работ, в связи с чем отказали в удовлетворении требований общества в соответствующей части. Суд округа поддержал выводы судов первой и апелляционной инстанций. Изложенные в кассационной жалобе доводы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кассационной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«Феста-Строй»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