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08.11.2021, оставленным без изменения постановлением Девятого арбитражного апелляционного суда от 05.03.2022 и постановлением Арбитражного суда Московского округа от 23.06.2022, иск удовлетворен частично. В кассационной жалобе общество «СтройТрансНефтеГаз» просит об отмене судебных актов в удовлетворенной части иска, ссылаясь на неприменение срока исковой давности,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результату исследования обстоятельств дела и представленных доказательств установили, что истец оказал ответчику услуги по договорам транспортно-экспедиционного обслуживания и на оказание логистических услуг, которые не были оплачены. Руководствуясь статьями 779 , 781 Гражданского кодекса Российской Федерации, суды удовлетворили иск, поскольку факты надлежащего оказания истцом услуг и неоплаты их ответчиком подтверждены. Довод о пропуске срока исковой давности был предметом рассмотрения судов и мотивированно отклонен.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«СтройТрансНефтеГаз»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"РечСервис" (подробнее) Ответчики: АО "Стройтранснефтегаз"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