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Колесников Олег Борисович обратился в Арбитражный суд города Москвы с иском к Карасеву Сергею Станиславовичу, Кисловой Анастасии Васильевне, Алешкину Игорю Павловичу о взыскании с ответчиков в порядке субсидиарной ответственности долга по векселям общества с ограниченной ответственностью «Ботаника лайф» от 14.03.2016 № 0002050 и 0002051. Определением Арбитражного суда города Москвы от 18.02.2022, оставленным без изменения постановлением Девятого арбитражного апелляционного суда от 07.06.2022 и постановлением Арбитражного суда Московского округа от 01.08.2022, производство по делу № А40-291463/21 прекращено применительно к пункту 2 части 1 статьи 150 Арбитражного процессуального кодекса Российской Федерации (далее – АПК РФ).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дело было рассмотрено в отсутствие ответчиков, не извещенных надлежащим образом о 2 времени и месте судебного заседания; судом не рассмотрено ходатайство об оказании содействия и истребования доказательств. По мнению истца, фактические обстоятельства заявленных требований по данному делу ранее истцом не указывались и ответчикам не предъявлялись.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Прекращая производство по делу, суд первой инстанции руководствовался пунктом 2 части 1 статьи 150 АПК РФ и исходил из того, что предмет и основания иска по настоящему делу тождественны требованиям, заявленным в деле № А40-223109/19, в котором участвовали те же лица, о чем имеется вступивший в законную силу судебный акт. Суды апелляционной и кассационной инстанций согласились с выводом суда первой инстанции, установив, что в рамках дела №А40-223109/19 и по настоящему делу истец обосновывает исковые требования к ответчикам на основании неисполненного обязательства ООО «Авин Групп» о погашении векселей векселедателя ООО «Ботаника Лайф» на сумму 3 392 000 руб. и 8 480 000 руб. и заключив, что основания и предмет требований являются одинаковыми, на момент рассмотрения настоящего дела имеется вступившее в законную силу решение суда по делу №А40-223109/19 по спору между теми же лицами и по тем же основаниям.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Колесникова Олега Борисовича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