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21.02.2022, оставленным без изменения постановлением Восьмого арбитражного апелляционного суда от 13.05.2022 и постановлением Арбитражного суда Западно-Сибирского округа от 21.07.2022, требование в размере 2 900 000 рублей включено в третью очередь реестра как обеспеченное залогом имущества. В кассационной жалобе Синцова В.И. просит об отмене судебных актов, ссылаясь на неправомерное признание наличие у кредитора залогового статуса, игнорирование ничтожности сделки купли-продажи и исполнительского иммунитета спорной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за счет уплаченных кредитором по сделке купли-продажи денежных средств должником исполнено обязательство, обеспеченное ипотекой, в связи с чем вывод судов о наличии у кредитора в силу статей 359, 360 Гражданского кодекса Российской Федерации залогового статуса правомерен. Доводы о ничтожности договора купли-продажи и наличии исполнительского иммунитета у спорной квартиры были рассмотрены судом округа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Синцовой В.И.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