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10.01.2022, оставленным без изменения постановлением Девятого арбитражного апелляционного суда от 01.04.2022 и постановлением Арбитражного суда Московского округа от 21.06.2022, в удовлетворении ходатайства о приостановлении производства по заявлению отказано, заявление удовлетворено. В кассационной жалобе Халтурин С.В. просит об отмене судебных актов, ссылаясь на неправомерный отказ в приостановлении производства, отсутствие условий для взыскания убытков и неверный расчет их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деятельности арбитражного управляющего, в том числе подтвержденных судебными актами, суды установили наличие условий для взыскания согласно пункту 4 статьи 20.4 Федерального закона от 26.10.2002 № 127-ФЗ «О несостоятельности (банкротстве)» убытков в заявленном размере. Доводы кассационной жалобы были предметом рассмотрения и оценки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Халтурину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