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24.11.2021, оставленным без изменения постановлением Пятого арбитражного апелляционного суда от 09.03.2022 и постановлением Арбитражного суда Дальневосточного округа от 01.07.2022, исковые требования удовлетворены. В кассационной жалобе компания просит об отмене судебных актов, ссылаясь на неправомерность взыскания спорных расходов, возникших вследствие ненадлежащего исполнения экспедитором обязательств по договору.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требования истца (экспедитора) о возмещении дополнительных расходов условиям договора транспортной экспедиции от 19.04.2019 № ЭИ/С-54-2019, статье 801 Гражданского кодекса Российской Федерации и нормам Федерального закона от 30.06.2003 № 87-ФЗ «О транспортно-экспедиционной деятельности». Иные оценка обстоятельств спора и толкование норм права заявителем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БАЙКАЛСИ Кампани – акционерному обществу «Иркутский завод розлива минеральных 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"СИЛК ВЭЙ ЛОГИСТИК" (подробнее) Ответчики: АО БАЙКАЛСИ КАМПАНИ "Иркутский завод розлива минеральных вод"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