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первой инстанции от 09.08.2019, оставленным без изменения постановлениями судов апелляционной инстанции от 07.11.2019 и округа от 27.01.2020, заявление удовлетворено. В кассационной жалобе, поданной в Верховный Суд Российской Федерации, заявитель просит обжалуемые судебные акты отменить.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 и доводов кассационной жалобы не установлено. Разрешая вопрос об изменении способа и порядка исполнения судебного акта, суды руководствовались положениями статьи 324 Арбитражного процессуального кодекса Российской Федерации, статей 166 , 167 Гражданского кодекса Российской Федерации и исходили из того, что в процессе исполнения судебного акта, присудившего к возврату автомобиль, выяснилось, что данный автомобиль находится в разобранном (разукомплектованном) состоянии, в связи с чем суды пришли к выводу о необходимости замены натуральной реституции на денежную. Доводы заявителя кассационной жалобы выводы судов не опровергают и не свидетельствуют о наличии оснований для передачи жалобы на рассмотрение в судебном заседании.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И.А. Букина Российской Федерации Суд: Верховный Суд РФ (подробнее) Истцы: Межрайонная инспекция Федеральной налоговой службы №24 по Ростовской области (подробнее) ООО Коммерческий банк "Ренессанс Кредит" (подробнее) Иные лица: АО Открытое страховое "РЕСО-Гарантия" (подробнее) Главное управление министерства внутренних дел Российской Федерации по Ростовской области (подробнее) к/у Клинцов Н.О. (подробнее) НП "Дальневосточная межрегиональная саморегулируемая организация профессиональных арбитражных управляющих" (подробнее) ООО "Экспертное бюро оценки и консалтинга" (подробнее) УФНС по РО (подробнее) Судьи дела: Букина И.А. (судья) (подробнее) Судебная практика по: Признание сделки недействительной Судебная практика по применению нормы ст. 167 ГК РФ Признание договора недействительным Судебная практика по применению нормы ст. 167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