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10.08.2021, оставленным без изменения постановлением Пятнадцатого арбитражного апелляционного суда от 08.04.2022 и постановлением Арбитражного суда Северо-Кавказского округа от 17.06.2022, требование общества в размере 3 110 073 рублей 03 копеек включено в третью очередь реестра как обеспеченное залогом имущества. В кассационной жалобе Иваненко В.А. и Гоголь Д.О. просят об отмене судебных актов, ссылаясь на отсутствие надлежащей правовой оценки спорного требования и неосновательное отклонение заявления о фальсификации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кредитором доказательства наличия заемных обязательств признаны судами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включения требования в реестр должника. Реагирование на заявление о фальсификации доказательств отражено в судебных актах.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Иваненко В.А. и гражданке Гоголь Д.О.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