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22.11.2021, оставленным без изменения постановлением Десятого арбитражного апелляционного суда от 04.04.2022 и постановлением Арбитражного суда Московского округа от 20.07.2022, заявление удовлетворено. В кассационной жалобе Салахетдинова И.А. просит об отмене судебных актов, ссылаясь на отсутствие условий для признания сделок недействительными.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Иная оценка установленных судами обстоятельств совершения сделок не создает указанных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Салахетдиновой Ирине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