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05.04.2022, оставленным без изменения постановлением Пятнадцатого арбитражного апелляционного суда от 06.06.2022 и постановлением Арбитражного суда Северо-Кавказского округа от 21.07.2022, заявление удовлетворено. В кассационной жалобе предприниматель просит об отмене судебных актов, ссылаясь на отсутствие оценки возражениям в отношении выплаты вознаграждения.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требуемого вознаграждения вкладу управляющего в достижение результата процедур банкротства должника, поэтому удовлетворили заявление в силу статей 20.3, 20.6, 213.9, 213.27 Федерального закона от 26.10.2002 № 127-ФЗ «О несостоятельности (банкротстве)» и сложившейся судебной практики их применения.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Ковтун Надежде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