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09.02.2022, оставленным без изменения постановлением Третьего арбитражного апелляционного суда от 04.05.2022 и постановлением Арбитражного суда Восточно-Сибирского округа от 20.07.2022, процедура реализации имущества должника завершена без применения правил об освобождении от дальнейшего исполнения обязательств. В кассационной жалобе ФИО1 просит об отмене судебных актов, ссылаясь на несоответствие вывода судов о ее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установили ее действия,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ЭОС (подробнее) ПАО "Сбербанк России" (подробнее) Иные лица: АО "Райфайзенбанк" (подробнее) АО "Райффайзенбанк" (подробнее) ИФНС по Железнодорожному района г. Красноярска (подробнее) ОПФР ПО КК (подробнее) Росреестр (подробнее) Служба Гостехнадзора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