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Чувашии от 09.12.2021 иск удовлетворен. Постановлением Первого арбитражного апелляционного суда от 17.02.2022 решение суда первой инстанции отменено, в удовлетворении иска отказано. Постановлением Арбитражного суда Волго-Вятского округа от 21.06.2022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постановления от 17.02.2022, от 21.06.2022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Отменяя решение суда первой инстанции и отказывая в удовлетворении иска, суд апелляционной инстанции,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статьей 15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 из недоказанности совокупности обстоятельств, необходимых для взыскания с ответчика убытков в виде упущенной выгоды. Суд округа поддержал выводы суда апелляционной инстанции.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«Парма-ТЭК»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