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Судебную коллегию по экономическим спорам Верховного Суда Российской Федерации с указанной кассационной жалобой, одновременно заявив ходатайство о восстановлении пропущенного срока ее подачи.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Частью 2 статьи 291.2 Арбитражного процессуального кодекса Российской Федерации установлено,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изучив приведенные заявителем причины пропуска процессуального срока, учитывая, что ходатайство заявлено в пределах шести месяцев со дня вступления в законную силу последнего обжалуемого судебного акта, судья усматривает основания для удовлетворения ходатайства. Принимая во внимание изложенное и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восстановить обществу с ограниченной ответственностью «Арт-ШоуГрупп» срок подачи кассационной жалобы на определение Тринадцатого арбитражного апелляционного суда от 09.07.2021 и постановление Арбитражного суда Северо-Западного округа от 09.09.2021 по делу № А56-29604/2020.Судья Верховного Суда Российской Федерации Р.А. Хатыпова Суд: Верховный Суд РФ (подробнее) Истцы: ООО "Пивоваренная компания Балтика" (подробнее) Ответчики: ООО "Астраханская пивная компания" (подробнее) Иные лица: ИП Сапрыкин Олег Николаевич (подробнее) ООО "Арт-ШоуГрупп" (подробнее) ООО "РИМ"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