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подал кассационную жалобу на судебные акты по спору, в котором не является участвующим лицом.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лицам, имеющим право на обжалование судебных актов, в силу статьи 42 Кодекса относятся хотя и не участвующие в деле лица, но о правах и обязанностях которых принят судебный акт. Рощин А.В. не отвечает требованиям, предъявляемым к лицам, имеющим право на обжалование судебных актов, поскольку в данном деле не участвует и судебные акты не приняты о его правах и обязанностях. Наличие иной, кроме обозначенной названными нормами, заинтересованности, связанной с принятыми по делу судебными актами, не наделяет заявителя правом на их обжалование. 2 В связи с отсутствием у заявителя права на обжалование судебных актов, признанным и окружным судом, производство по кассационной жалобе подлежит прекращению. Руководствуясь статьей 184,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Рощина Артема Вадимовича на определение Арбитражного суда Республики Татарстан от 24.12.2021, постановление Одиннадцатого арбитражного апелляционного суда от 29.03.2022 и постановление Арбитражного суда Поволжского округа от 21.06.2022 по делу № А65-3242/2020.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