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Поволжского округа от 21.06.2022, оставленным без изменения в обжалуемой части определением того же суда от 01.08.2022, производство по кассационной жалобе Рощина А.В. на определение Арбитражного суда Республики Татарстан от 24.12.2021 и постановление Одиннадцатого арбитражного апелляционного суда от 29.03.2022 прекращено на основании пункта 1 части 1 статьи 150 Арбитражного процессуального кодекса Российской Федерации. В кассационной жалобе Рощин А.В. просит отменить судебные акты окружного суда в части прекращения производства по его жалобе, ссылаясь на неисследование его доводов об имеющихся с должником правоотношениях.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2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42 Арбитражного процессуального кодекса Российской Федерации лица, не участвующие в деле, вправе обжаловать судебный акт, непосредственно затрагивающий их права и обязанности, создающий препятствия для реализации их субъективного права или надлежащего исполнения обязанности по отношению к одной из сторон спора. Окружной суд, руководствуясь критериями для обжалования судебных актов лицами, указанными в статье 42 Арбитражного процессуального кодекса Российской Федерации, установил отсутствие в отношении заявителя таковых. Наличие иного, не отвечающего поименованным критериям, интереса в результате рассмотрения дела не предоставляет права на обжалование судебного акта.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Рощину Артему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