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23.12.2021, оставленным без изменения постановлением Девятого арбитражного апелляционного суда от 22.03.2022 и постановлением Арбитражного суда Московского округа от 23.06.2022, заявление удовлетворено. В кассационной жалобе Перфилов Ю.М. просит об отмене судебных актов, ссылаясь на ненадлежащую оценку обстоятельств заключения сделок и отсутствие условий для признания их недействительными.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пределов осуществления гражданских прав при совершении оспариваемых сделок, направленных на выведение имущества из под взыскания по долгам, в качестве условий для недействительности сделок в силу статей 10, 168, 170 Гражданского кодекса Российской Федерации. Иная оценка обстоятельств совершения сделок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Перфилову Ю.М.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