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27.12.2021, оставленным без изменения постановлением Пятнадцатого арбитражного апелляционного суда от 25.03.2022 и постановлением Арбитражного суда Северо-Кавказского округа от 22.06.2022, первоначальный иск удовлетворен, встречный иск удовлетворен частично, произведен зачет удовлетворенных требований. В кассационной жалобе, поданной в Верховный Суд Российской Федерации, Сапронов С.Н., выражая несогласие с выводами судов в части удовлетворения встречного иска, просит отменить указанные судебные акты как принятые с нарушением норм права. 2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15, 393 Гражданского кодекса Российской Федерации,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исходя из доказанности Лукьяновым С.С. совокупности условий, необходимых для взыскания с Сапронова С.Н. убытков в виде упущенной выгоды, принимая во внимание заявление последнего о пропуске срока исковой давности, суды первой и апелляционной инстанций пришли к выводу о наличии оснований для частичного удовлетворения встречного иска, с чем впоследствии согласился суд округа. Приведенные в кассационной жалобе доводы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Сапронова Сергея Николаевича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