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«ИНЖ-2И» (далее – Общество) обратилось в Арбитражный суд города Москвы с иском к обществу с ограниченной ответственностью «Болховский Завод Металлоконструкций» (далее – Компания) о взыскании 598 341 рубля 56 копеек неустойки; обязать передать необходимый комплект документов КМД. Решением Арбитражного суда города Москвы от 17.12.2021, оставленным без изменения постановлением Девятого арбитражного апелляционного суда от 22.03.2022 и постановлением Арбитражного суда Московского округа от 20.06.2022, требования удовлетворены частично: с Компании в пользу Общества взыскана 241 948 рублей 24 копейки неустойки; в остальной части в удовлетворении искового заявления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в рассматриваемом случае у суда отсутствовали основания для снижения неустойки. Суды 2 неправомерно отказали в части требования обязать передать документы КМД, поскольку заказчику должны были быть направлены оригиналы документов.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28.08.2020 между Обществом (заказчик) и Компанией (исполнитель) в редакции дополнительного соглашения от 20.10.2020 заключен договор № 28/08-2020 на изготовление и поставку продукции. График изготовления и поставки товара определен в приложении № 2 к договору. В связи с нарушением сроков поставки истцом на основании пункта 8.2 договора начислил неустойку. Кроме того, Общество также указало на неисполнение обязательств по передаче необходимого комплекта документов КМД. Указанные обстоятельства послужили основанием для обращения Общества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330, 333, 506, 510, 521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от 24.03.2016 №7 «О применении судами некоторых положений Гражданского кодекса Российской Федерации об ответственности за нарушение обязательств», суды частично удовлетворили требование о взыскании неустойки, установив факт нарушения срока поставки товара, применив при этом положения статьи 333 Гражданского кодекса, снизив размер санкции. Отказывая в части требования обязать передать необходимый комплект документов КМД, суды исходили из наличия в материалах дела доказательств исполнения указанного обязательства путем направления документов по электронной почте. Вопреки утверждениям Общества, спорный договор не содержит условия об обязательной передаче документов КМД на бумажном носителе. Доводы кассационной жалобы не свидетельствуют о допущенных судами нарушениях норм материального и процессуального права, которые бы служили 3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«ИНЖ-2И»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