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Бороздина К.Р. в Арбитражный суд Свердловской области обратилась конкурсный кредитор – Бороздина Е.И. с заявлением о признании недействительным оформленного распиской договора займа о получении от должника Коноплевой Е.С. денежных средств в размере 15 000 000 рублей, а также признании недействительной сделки по перечислению на основании расписки денежных средств Коноплевой Е.С. должнику, применении последствий недействительности сделки в виде взыскания с Коноплевой Е.С. в конкурсную массу должника 15 000 000 рублей, полученных ею в качестве неосновательного обогащения. Определением Арбитражного суда Свердловской области от 30.03.2021 в удовлетворении заявления отказано. Постановлением Семнадцатого арбитражного апелляционного суда от 23.06.2021, оставленным без изменения постановлением Арбитражного суда Уральского округа от 08.09.2021, определение суда первой инстанции отменено, сделка, оформленная распиской о получении должником от Коноплевой Е.С. 15 000 000 рублей, признана недействительной, применены 2 последствия недействительности сделки в виде взыскания с Коноплевой Е.С. в конкурсную массу должника указанной суммы; в удовлетворении заявления в остальной части отказано. Коноплева Е.С. обратилась в Семнадцатый арбитражный апелляционный суд с заявлением о пересмотре по вновь открывшимся обстоятельствам постановления Семнадцатого арбитражного апелляционного суда от 23.06.2021. Определением Семнадцатого арбитражного апелляционного суда от 21.04.2022, оставленным без изменения постановлением Арбитражного суда Уральского округа от 19.07.2022, в удовлетворении заявления о пересмотре по вновь открывшимся обстоятельствам судебного акта отказано. Коноплева Е.С.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 о пересмотре судебного акта по вновь открывшимся обстоятельствам, суды апелляционной и кассационной инстанций руководствовались положениями статей 309, 310, 311 Арбитражного процессуального кодекса Российской Федерации, разъяснениями, данными в постановлении Пленума Высшего Арбитражного Суда Российской Федерации от 30.06.2011 № 52 «О применении Арбитражного процессуального кодекса Российской Федерации при пересмотре судебных актов по новым и вновь открывшимся обстоятельствам», и исходили из того, что указанное заявителем обстоятельство не является вновь открывшимся обстоятельством и не может служить основанием для пересмотра судебного акта по правилам главы 37 Арбитражного процессуального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