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 по снятию 02.12.2019 и 09.12.2019 денежных средств в сумме 4 730 399 рублей 8 копеек со счёта Кирильцевой В.С. № 42306810500031017600, открытого в банке, и применении последствий недействительности сделок в виде взыскания с Кирильцевой В.С. в конкурсную массу должника денежных средств в указанном размере. Определением Арбитражного суда города Санкт-Петербурга и Ленинградской области от 30.09.2021, оставленным без изменения постановлениями Тринадцатого арбитражного апелляционного суда от 07.04.2022 и Арбитражного суда Северо-Западного округа от 24.06.2022,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19, 61.3, 61.6 и 189.40 Федерального закона от 26.10.2002 № 127-ФЗ «О несостоятельности (банкротстве)», исходили из совершения оспариваемых операций заинтересованным по отношению к должнику лицом, в пределах месяца до назначения временной администрации должника и за пределами обычной хозяйственной деятельности, пришли к выводу об обоснованности заявления, указав на следствие сделок – предпочтительное удовлетворение требований Кирильцевой В.С. перед иными кредиторами,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Кирильцевой Вере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