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Илая Елена Геннадьевна обратилась в суд с заявлением о взыскании с бывшего руководителя должника Коломойченко О.В. убытков в размере 47 819 000 рублей, вызванных необоснованным списанием запасов товарной продукции. Определением Арбитражного суда Московской области от 17.01.2022, оставленным без изменения постановлениями Десятого арбитражного апелляционного суда от 29.03.2022 и Арбитражного суда Московского округа от 20.07.2022,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и пункта 3 статьи 53 Гражданского кодекса Российской Федерации, исходили из наличия оснований для удовлетворения требований, признав доказанной наличие причинно-следственной связи между убытками на стороне должника в указанном размере и действиями Коломойченко О.В., отметив отсутствие надлежащих доказательств совершения действий по списанию продукции интересам должника и его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Коломойченко Оксане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