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«СтройПроект» (далее – общество) обратилось в суд с заявлением о включении в реестр требований кредиторов должника далее –реестр) его требований в размере 6 671 938 рублей 51 копейка. Определением Арбитражного суда города Москвы от 16.09.2021требования общества в указанном размере включены в третью очередь реестра. Постановлением Девятого арбитражного апелляционного суда от 03.03.2022 отменено определение суда первой инстанции от 16.09.2021, отказано в удовлетворении заявления. Постановлением Арбитражного суда Московского округа от 23.06.2022 отменено постановление апелляционного суда от 03.03.2022, оставлено в силе определение суда первой инстанции от 16.09.2021. В кассационной жалобе, поданной в Верховный Суд Российской Федерации, заявитель просит отменить указанные определение суда первой инстанции и постановление суда округа, отказать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первой инстанции, руководствуясь положениями статей 71 и 100 Федерального закона от 26.10.2002 № 127-ФЗ «О несостоятельности (банкротстве)», пришёл к выводу об обоснованности и подтверждённости требований общества к должнику, составляющих сумму неотработанного аванса по договорам подряда, и, как следствие, установил наличие оснований для их включения в третью очередь реестра, отклонив доводы конкурсного управляющего должником и его единственного участника о наличии оснований для отказа в удовлетворении данных требований. Суд округа признал необоснованными выводы апелляционного суда об отсутствии оснований для удовлетворения требований общества к должнику, согласившись с аналогичными выводами суда первой инстанции и отменив постановление. Выводы судов первой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первой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обществом с ограниченной ответственностью «Каприн» Шибаеву Антону Денисовичу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