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Красноярского края от 24.01.2022, оставленным без изменения постановлениями Третьего арбитражного апелляционного суда от 24.03.2022 и Арбитражного суда Восточно-Сибирского округа от 23.06.2022, завершена процедура реализации имущества, в отношении должника не применены правила об освобождении от исполнения обязательств. В кассационной жалобе, поданной в Верховный Суд Российской Федерации, заявитель просит отменить указанные судебные акты в части неприменения правил об освобождении от исполнения обязательств и направить дело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применении правила об освобождении от исполнения обязательств, суд первой инстанции, руководствуясь положениями статьи 10 Гражданского кодекса Российской Федерации, статьи 213.28 Федерального закона от 26.10.2002 № 127-ФЗ «О несостоятельности (банкротстве)», исходил из того, что поведение Попова М.Г., выразившееся в совершении сделок, направленных на сокрытие имущества с целью предотвращения обращения на него взыскания по требованиям кредиторов, не отвечает критерию добросовестности и не может быть признано правомерным.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Михаилу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