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08.12.2021, оставленным без изменения постановлением Двадцать первого арбитражного апелляционного суда от 25.02.2022 и постановлением Арбитражного суда Центрального округа от 21.06.2022, принят отказ предпринимателя от части исковых требований, производство по делу в данной части прекращено; с общества в пользу предпринимателя взыскано 2 209 100 руб. неосновательного обогащения.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предпринимателем обществу денежных средств, отсутствие между сторонами договорных отношений, а также доказательств встречного исполнения на спорную сумму со стороны общества, руководствуясь статьями 8, 307, 1102 Гражданского кодекса Российской Федерации, суды первой и апелляционной инстанций удовлетворили иск,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«Элдом»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