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общества с ограниченной ответственностью «Актуальные строительные решения» и «Ставропольские зори» обратились в суд с заявлениями, объединёнными в одно производство для совместного рассмотрения, о признании недействительными торгов по реализации имущества должника, а также заключенной по их результатам сделки. Определением Арбитражного суда Ставропольского края от 19.01.2022, оставленным без изменения постановлениями Шестнадцатого арбитражного апелляционного суда от 30.03.2022 и Арбитражного суда Северо-Кавказского округа от 22.06.2022,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449 Гражданского кодекса Российской Федерации, статьями 110, 139 Федерального закона от 26.10.2002 № 127-ФЗ «О несостоятельности (банкротстве)», разъяснениями, приведёнными в информационном письме Президиума Высшего Арбитражного Суда Российской Федерации от 22.12.2005 № 101 «Обзор практики рассмотрения споров, связанных с признанием недействительными публичных торгов, проводимых в рамках исполнительного производства», не установили фактов нарушений действующего законодательства, прав и законных интересов должника, кредиторов и заявителя при проведении оспариваемых торгов по реализации имущества должника, условий для признания недействительной заключенной по их результатам сделки,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«Ставропольские зори»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