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исключении из конкурсной массы денежных средств либо выделении имущества, от реализации которого возможно получить денежные средства, необходимые в том числе для покрытия прожиточного минимума в период процедуры реализации имущества. Определением Арбитражного суда Костромской области от 27.12.2021 в удовлетворении заявления отказано. Должник обратился в Арбитражный суд Костромской области с заявлением об исправлении описки в определении суда. Определением Арбитражного суда Костромской области от 20.01.2022, оставленным без изменения постановлением Второго арбитражного апелляционного суда от 12.05.2022 и постановлением Арбитражного суда Волго-Вятского округа от 12.08.2022, в удовлетворении заявления отказано. 2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