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Мельник Р.Н. обратилась в Верховный Суд Российской Федерации с кассационной жалобой на постановление Арбитражного суда Дальневосточного округа от 16.09.2022 по делу № А51-16425/2021 Арбитражного суда Приморского края. До рассмотрения кассационной жалобы по существу от заявителя поступило ходатайство о возвращении кассационной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С учетом изложенного, кассационная жалоба подлежит возвращению без рассмотрения по существу. Руководствуясь статьями 184, 185, пунктом 4 части 1 статьи 291.5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Мельник Раисы Николаевны о возвращении кассационной жалобы удовлетворить. Возвратить Мельник Р.Н. кассационную жалобу на постановление Арбитражного суда Дальневосточного округа от 16.09.2022 по делу № А51-16425/2021 Арбитражного суда Приморского края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