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Бобер А.А. обратился в суд с заявлением о включении в реестр требований кредиторов должника (далее – реестр) задолженности и процентов в общем размере 5 750 399 рублей 94 копейки, как обеспеченных залогом имущества должника. Определением Арбитражного суда Самарской области от 15.10.2021, оставленным без изменения постановлениями Одиннадцатого арбитражного апелляционного суда от 24.02.2022 и Арбитражного суда Поволжского округа от 21.06.2022,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199, 200 Гражданского кодекса Российской Федерации, статьёй 71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исходили из пропуска заявителем срока исковой давности по предъявленному требованию в отсутствии доказательств его прерывания,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Боберу Антону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